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34" w:rsidRDefault="00000000">
      <w:pPr>
        <w:pBdr>
          <w:bottom w:val="single" w:sz="8" w:space="1" w:color="1A6B3A"/>
        </w:pBdr>
        <w:spacing w:after="40"/>
      </w:pPr>
      <w:r>
        <w:rPr>
          <w:b/>
          <w:bCs/>
          <w:color w:val="1A6B3A"/>
          <w:sz w:val="28"/>
          <w:szCs w:val="28"/>
        </w:rPr>
        <w:t>ZODIAC sh.p.k.</w:t>
      </w:r>
      <w:r>
        <w:rPr>
          <w:color w:val="555555"/>
          <w:sz w:val="20"/>
          <w:szCs w:val="20"/>
        </w:rPr>
        <w:t xml:space="preserve">   |   NIPT: J62014008P   |   www.zodiac.al</w:t>
      </w:r>
    </w:p>
    <w:p w:rsidR="007D0F34" w:rsidRDefault="007D0F34">
      <w:pPr>
        <w:spacing w:after="60"/>
      </w:pPr>
    </w:p>
    <w:p w:rsidR="007D0F34" w:rsidRDefault="00000000">
      <w:pPr>
        <w:spacing w:after="60"/>
      </w:pPr>
      <w:r>
        <w:rPr>
          <w:b/>
          <w:bCs/>
          <w:color w:val="1A6B3A"/>
          <w:sz w:val="36"/>
          <w:szCs w:val="36"/>
        </w:rPr>
        <w:t>Environmental &amp; Sustainability Commitments</w:t>
      </w:r>
    </w:p>
    <w:p w:rsidR="007D0F34" w:rsidRDefault="00000000">
      <w:pPr>
        <w:pBdr>
          <w:bottom w:val="single" w:sz="4" w:space="1" w:color="CCCCCC"/>
        </w:pBdr>
        <w:spacing w:after="300"/>
      </w:pPr>
      <w:r>
        <w:rPr>
          <w:i/>
          <w:iCs/>
          <w:color w:val="555555"/>
          <w:sz w:val="20"/>
          <w:szCs w:val="20"/>
        </w:rPr>
        <w:t>Issued: June 2026</w:t>
      </w:r>
    </w:p>
    <w:p w:rsidR="007D0F34" w:rsidRDefault="00000000">
      <w:pPr>
        <w:spacing w:after="200"/>
      </w:pPr>
      <w:r>
        <w:t>ZODIAC sh.p.k. is an Albanian aluminum recycler and secondary smelter, operating production facilit</w:t>
      </w:r>
      <w:r w:rsidR="00627A34">
        <w:rPr>
          <w:lang w:val="en-US"/>
        </w:rPr>
        <w:t>y in</w:t>
      </w:r>
      <w:r>
        <w:t xml:space="preserve"> Durrës. This document sets out the company</w:t>
      </w:r>
      <w:r w:rsidR="00627A34">
        <w:rPr>
          <w:lang w:val="en-US"/>
        </w:rPr>
        <w:t>’</w:t>
      </w:r>
      <w:r>
        <w:t>s environmental and sustainability commitments as they stand today.</w:t>
      </w:r>
    </w:p>
    <w:p w:rsidR="007D0F34" w:rsidRDefault="00000000">
      <w:pPr>
        <w:pStyle w:val="Heading1"/>
      </w:pPr>
      <w:r>
        <w:t>1. Our Business Model Is Inherently Sustainable</w:t>
      </w:r>
    </w:p>
    <w:p w:rsidR="007D0F34" w:rsidRDefault="00000000">
      <w:pPr>
        <w:spacing w:after="160"/>
      </w:pPr>
      <w:r>
        <w:t>ZODIAC</w:t>
      </w:r>
      <w:r w:rsidR="00627A34">
        <w:rPr>
          <w:lang w:val="en-US"/>
        </w:rPr>
        <w:t>’</w:t>
      </w:r>
      <w:r>
        <w:t xml:space="preserve">s core activity is the collection and recycling of aluminum scrap into secondary aluminum products — billets, slabs, ingots, and sows. Secondary aluminum production requires </w:t>
      </w:r>
      <w:r>
        <w:rPr>
          <w:b/>
          <w:bCs/>
        </w:rPr>
        <w:t>up to 95% less energy</w:t>
      </w:r>
      <w:r>
        <w:t xml:space="preserve"> than primary aluminum smelting from bauxite ore, resulting in a significantly lower carbon footprint per tonne of metal produced. By diverting non-ferrous scrap from landfill and reintroducing it into industrial supply chains, ZODIAC contributes directly to the circular economy.</w:t>
      </w:r>
    </w:p>
    <w:p w:rsidR="007D0F34" w:rsidRDefault="00000000">
      <w:pPr>
        <w:pStyle w:val="Heading1"/>
      </w:pPr>
      <w:r>
        <w:t>2. Renewable Energy</w:t>
      </w:r>
    </w:p>
    <w:p w:rsidR="007D0F34" w:rsidRPr="00627A34" w:rsidRDefault="00000000">
      <w:pPr>
        <w:spacing w:after="100"/>
        <w:rPr>
          <w:lang w:val="en-US"/>
        </w:rPr>
      </w:pPr>
      <w:r>
        <w:t>ZODIAC has invested in on-site solar photovoltaic infrastructure to reduce dependence on grid electricity and lower the carbon intensity of its operations. The solar installation contributes to powering facility operations and reflects the company</w:t>
      </w:r>
      <w:r w:rsidR="00627A34">
        <w:rPr>
          <w:lang w:val="en-US"/>
        </w:rPr>
        <w:t>’s</w:t>
      </w:r>
      <w:r>
        <w:t xml:space="preserve"> commitment to transitioning toward cleaner energy sources.</w:t>
      </w:r>
      <w:r w:rsidR="00627A34">
        <w:rPr>
          <w:lang w:val="en-US"/>
        </w:rPr>
        <w:t xml:space="preserve"> The total installation power is 1MW which covers 100% of the company’s electrical needs.</w:t>
      </w:r>
    </w:p>
    <w:p w:rsidR="007D0F34" w:rsidRDefault="00000000">
      <w:pPr>
        <w:pStyle w:val="Heading1"/>
      </w:pPr>
      <w:r>
        <w:t>3. Emission Reduction Through Advanced Furnace Technology</w:t>
      </w:r>
    </w:p>
    <w:p w:rsidR="007D0F34" w:rsidRDefault="00000000">
      <w:pPr>
        <w:spacing w:after="100"/>
      </w:pPr>
      <w:r>
        <w:t>ZODIAC operates modern furnace equipment designed to minimize natural gas consumption per tonne of aluminum processed. Key practices include: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Optimized burner management systems to reduce gas consumption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Controlled charge preparation to maximize thermal efficiency</w:t>
      </w:r>
    </w:p>
    <w:p w:rsidR="007D0F34" w:rsidRDefault="00000000">
      <w:pPr>
        <w:pStyle w:val="ListParagraph"/>
        <w:numPr>
          <w:ilvl w:val="0"/>
          <w:numId w:val="2"/>
        </w:numPr>
        <w:spacing w:after="200"/>
      </w:pPr>
      <w:r>
        <w:t>Continuous monitoring of combustion parameters to minimize incomplete combustion and associated emissions</w:t>
      </w:r>
    </w:p>
    <w:p w:rsidR="007D0F34" w:rsidRDefault="00000000">
      <w:pPr>
        <w:pStyle w:val="Heading1"/>
      </w:pPr>
      <w:r>
        <w:t>4. Energy Recovery from Scrap Processing</w:t>
      </w:r>
    </w:p>
    <w:p w:rsidR="007D0F34" w:rsidRDefault="00000000">
      <w:pPr>
        <w:spacing w:after="100"/>
      </w:pPr>
      <w:r>
        <w:t>Aluminum scrap often contains organic residues including coatings, paint, and lacquers. Rather than treating these as waste, ZODIAC</w:t>
      </w:r>
      <w:r w:rsidR="00627A34">
        <w:rPr>
          <w:lang w:val="en-US"/>
        </w:rPr>
        <w:t>’</w:t>
      </w:r>
      <w:r>
        <w:t>s processing approach recovers the thermal energy released during the treatment of these materials within the furnace cycle. This practice: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Reduces the total gas input required per melt cycle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Lowers net CO₂-equivalent emissions per tonne of finished aluminum</w:t>
      </w:r>
    </w:p>
    <w:p w:rsidR="007D0F34" w:rsidRDefault="00000000">
      <w:pPr>
        <w:pStyle w:val="ListParagraph"/>
        <w:numPr>
          <w:ilvl w:val="0"/>
          <w:numId w:val="2"/>
        </w:numPr>
        <w:spacing w:after="200"/>
      </w:pPr>
      <w:r>
        <w:t>Avoids the separate disposal or incineration of organic residues</w:t>
      </w:r>
    </w:p>
    <w:p w:rsidR="007D0F34" w:rsidRDefault="00000000">
      <w:pPr>
        <w:pStyle w:val="Heading1"/>
      </w:pPr>
      <w:r>
        <w:t>5. Regulatory Environmental Compliance</w:t>
      </w:r>
    </w:p>
    <w:p w:rsidR="007D0F34" w:rsidRDefault="00000000">
      <w:pPr>
        <w:spacing w:after="100"/>
      </w:pPr>
      <w:r>
        <w:t xml:space="preserve">ZODIAC operates under </w:t>
      </w:r>
      <w:r>
        <w:rPr>
          <w:b/>
          <w:bCs/>
        </w:rPr>
        <w:t>Albanian Environmental Permit Type B (PN-4045-10-2016)</w:t>
      </w:r>
      <w:r>
        <w:t>, issued by the Albanian National Environmental Agency (AKM). Compliance obligations under this permit include: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Annual environmental reporting to AKM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Regulated management of industrial waste streams under applicable EWC codes</w:t>
      </w:r>
    </w:p>
    <w:p w:rsidR="007D0F34" w:rsidRDefault="00000000">
      <w:pPr>
        <w:pStyle w:val="ListParagraph"/>
        <w:numPr>
          <w:ilvl w:val="0"/>
          <w:numId w:val="2"/>
        </w:numPr>
        <w:spacing w:after="80"/>
      </w:pPr>
      <w:r>
        <w:t>Proper handling and disposal of hazardous by-products (including salt slag, EWC 10 03 08*) through licensed contractors</w:t>
      </w:r>
    </w:p>
    <w:p w:rsidR="007D0F34" w:rsidRDefault="00000000">
      <w:pPr>
        <w:pStyle w:val="ListParagraph"/>
        <w:numPr>
          <w:ilvl w:val="0"/>
          <w:numId w:val="2"/>
        </w:numPr>
        <w:spacing w:after="200"/>
      </w:pPr>
      <w:r>
        <w:lastRenderedPageBreak/>
        <w:t>Emission monitoring and compliance with national air quality standards</w:t>
      </w:r>
    </w:p>
    <w:p w:rsidR="007D0F34" w:rsidRDefault="00000000">
      <w:pPr>
        <w:pStyle w:val="Heading1"/>
      </w:pPr>
      <w:r>
        <w:t>6. CBAM Readiness</w:t>
      </w:r>
    </w:p>
    <w:p w:rsidR="007D0F34" w:rsidRDefault="00000000">
      <w:pPr>
        <w:spacing w:after="200"/>
      </w:pPr>
      <w:r>
        <w:t>As an exporter of aluminum products to EU-based customers, ZODIAC is actively engaged in Carbon Border Adjustment Mechanism (CBAM) compliance. The company tracks embedded emissions data for its aluminum outputs in line with EU Regulation 2025/2621, ensuring transparency on the carbon content of exported goods.</w:t>
      </w:r>
    </w:p>
    <w:p w:rsidR="007D0F34" w:rsidRDefault="00000000">
      <w:pPr>
        <w:pBdr>
          <w:top w:val="single" w:sz="4" w:space="1" w:color="CCCCCC"/>
        </w:pBdr>
        <w:spacing w:before="200" w:after="80"/>
      </w:pPr>
      <w:r>
        <w:rPr>
          <w:i/>
          <w:iCs/>
          <w:color w:val="555555"/>
          <w:sz w:val="20"/>
          <w:szCs w:val="20"/>
        </w:rPr>
        <w:t>This document is publicly available at www.zodiac.al and will be updated as the company</w:t>
      </w:r>
      <w:r w:rsidR="00627A34">
        <w:rPr>
          <w:i/>
          <w:iCs/>
          <w:color w:val="555555"/>
          <w:sz w:val="20"/>
          <w:szCs w:val="20"/>
          <w:lang w:val="en-US"/>
        </w:rPr>
        <w:t>’</w:t>
      </w:r>
      <w:r>
        <w:rPr>
          <w:i/>
          <w:iCs/>
          <w:color w:val="555555"/>
          <w:sz w:val="20"/>
          <w:szCs w:val="20"/>
        </w:rPr>
        <w:t>s sustainability practices develop.</w:t>
      </w:r>
    </w:p>
    <w:p w:rsidR="007D0F34" w:rsidRDefault="00000000">
      <w:pPr>
        <w:spacing w:after="40"/>
      </w:pPr>
      <w:r>
        <w:rPr>
          <w:color w:val="555555"/>
          <w:sz w:val="20"/>
          <w:szCs w:val="20"/>
        </w:rPr>
        <w:t>ZODIAC sh.p.k.   |   Mëzez, Kashar, Tirana, Albania</w:t>
      </w:r>
    </w:p>
    <w:sectPr w:rsidR="007D0F3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22B0"/>
    <w:multiLevelType w:val="hybridMultilevel"/>
    <w:tmpl w:val="CA605A52"/>
    <w:lvl w:ilvl="0" w:tplc="8960B234">
      <w:start w:val="1"/>
      <w:numFmt w:val="bullet"/>
      <w:lvlText w:val="–"/>
      <w:lvlJc w:val="left"/>
      <w:pPr>
        <w:ind w:left="540" w:hanging="270"/>
      </w:pPr>
    </w:lvl>
    <w:lvl w:ilvl="1" w:tplc="03067A64">
      <w:numFmt w:val="decimal"/>
      <w:lvlText w:val=""/>
      <w:lvlJc w:val="left"/>
    </w:lvl>
    <w:lvl w:ilvl="2" w:tplc="EDC07388">
      <w:numFmt w:val="decimal"/>
      <w:lvlText w:val=""/>
      <w:lvlJc w:val="left"/>
    </w:lvl>
    <w:lvl w:ilvl="3" w:tplc="ABFA24C0">
      <w:numFmt w:val="decimal"/>
      <w:lvlText w:val=""/>
      <w:lvlJc w:val="left"/>
    </w:lvl>
    <w:lvl w:ilvl="4" w:tplc="2E28235A">
      <w:numFmt w:val="decimal"/>
      <w:lvlText w:val=""/>
      <w:lvlJc w:val="left"/>
    </w:lvl>
    <w:lvl w:ilvl="5" w:tplc="9F946464">
      <w:numFmt w:val="decimal"/>
      <w:lvlText w:val=""/>
      <w:lvlJc w:val="left"/>
    </w:lvl>
    <w:lvl w:ilvl="6" w:tplc="BE34553E">
      <w:numFmt w:val="decimal"/>
      <w:lvlText w:val=""/>
      <w:lvlJc w:val="left"/>
    </w:lvl>
    <w:lvl w:ilvl="7" w:tplc="AC302F98">
      <w:numFmt w:val="decimal"/>
      <w:lvlText w:val=""/>
      <w:lvlJc w:val="left"/>
    </w:lvl>
    <w:lvl w:ilvl="8" w:tplc="4A0E8776">
      <w:numFmt w:val="decimal"/>
      <w:lvlText w:val=""/>
      <w:lvlJc w:val="left"/>
    </w:lvl>
  </w:abstractNum>
  <w:abstractNum w:abstractNumId="1" w15:restartNumberingAfterBreak="0">
    <w:nsid w:val="25572466"/>
    <w:multiLevelType w:val="hybridMultilevel"/>
    <w:tmpl w:val="0CDCBEBA"/>
    <w:lvl w:ilvl="0" w:tplc="64BCF238">
      <w:start w:val="1"/>
      <w:numFmt w:val="bullet"/>
      <w:lvlText w:val="●"/>
      <w:lvlJc w:val="left"/>
      <w:pPr>
        <w:ind w:left="720" w:hanging="360"/>
      </w:pPr>
    </w:lvl>
    <w:lvl w:ilvl="1" w:tplc="E5047CC6">
      <w:start w:val="1"/>
      <w:numFmt w:val="bullet"/>
      <w:lvlText w:val="○"/>
      <w:lvlJc w:val="left"/>
      <w:pPr>
        <w:ind w:left="1440" w:hanging="360"/>
      </w:pPr>
    </w:lvl>
    <w:lvl w:ilvl="2" w:tplc="3DDEB648">
      <w:start w:val="1"/>
      <w:numFmt w:val="bullet"/>
      <w:lvlText w:val="■"/>
      <w:lvlJc w:val="left"/>
      <w:pPr>
        <w:ind w:left="2160" w:hanging="360"/>
      </w:pPr>
    </w:lvl>
    <w:lvl w:ilvl="3" w:tplc="91502082">
      <w:start w:val="1"/>
      <w:numFmt w:val="bullet"/>
      <w:lvlText w:val="●"/>
      <w:lvlJc w:val="left"/>
      <w:pPr>
        <w:ind w:left="2880" w:hanging="360"/>
      </w:pPr>
    </w:lvl>
    <w:lvl w:ilvl="4" w:tplc="727EDD7E">
      <w:start w:val="1"/>
      <w:numFmt w:val="bullet"/>
      <w:lvlText w:val="○"/>
      <w:lvlJc w:val="left"/>
      <w:pPr>
        <w:ind w:left="3600" w:hanging="360"/>
      </w:pPr>
    </w:lvl>
    <w:lvl w:ilvl="5" w:tplc="D03C490C">
      <w:start w:val="1"/>
      <w:numFmt w:val="bullet"/>
      <w:lvlText w:val="■"/>
      <w:lvlJc w:val="left"/>
      <w:pPr>
        <w:ind w:left="4320" w:hanging="360"/>
      </w:pPr>
    </w:lvl>
    <w:lvl w:ilvl="6" w:tplc="C3589390">
      <w:start w:val="1"/>
      <w:numFmt w:val="bullet"/>
      <w:lvlText w:val="●"/>
      <w:lvlJc w:val="left"/>
      <w:pPr>
        <w:ind w:left="5040" w:hanging="360"/>
      </w:pPr>
    </w:lvl>
    <w:lvl w:ilvl="7" w:tplc="A7668754">
      <w:start w:val="1"/>
      <w:numFmt w:val="bullet"/>
      <w:lvlText w:val="●"/>
      <w:lvlJc w:val="left"/>
      <w:pPr>
        <w:ind w:left="5760" w:hanging="360"/>
      </w:pPr>
    </w:lvl>
    <w:lvl w:ilvl="8" w:tplc="1D7A2010">
      <w:start w:val="1"/>
      <w:numFmt w:val="bullet"/>
      <w:lvlText w:val="●"/>
      <w:lvlJc w:val="left"/>
      <w:pPr>
        <w:ind w:left="6480" w:hanging="360"/>
      </w:pPr>
    </w:lvl>
  </w:abstractNum>
  <w:num w:numId="1" w16cid:durableId="1920409787">
    <w:abstractNumId w:val="1"/>
    <w:lvlOverride w:ilvl="0">
      <w:startOverride w:val="1"/>
    </w:lvlOverride>
  </w:num>
  <w:num w:numId="2" w16cid:durableId="20695702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34"/>
    <w:rsid w:val="00627A34"/>
    <w:rsid w:val="007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6435E0"/>
  <w15:docId w15:val="{B79538F7-3571-3D4B-BBEF-05148A7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A6B3A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80"/>
      <w:outlineLvl w:val="1"/>
    </w:pPr>
    <w:rPr>
      <w:b/>
      <w:bCs/>
      <w:color w:val="1A6B3A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Geldi Mansaku</cp:lastModifiedBy>
  <cp:revision>2</cp:revision>
  <dcterms:created xsi:type="dcterms:W3CDTF">2026-06-12T11:16:00Z</dcterms:created>
  <dcterms:modified xsi:type="dcterms:W3CDTF">2026-06-12T11:28:00Z</dcterms:modified>
</cp:coreProperties>
</file>